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15C" w14:textId="77777777" w:rsidR="008B1AAD" w:rsidRDefault="008B1AAD" w:rsidP="00EC495F">
      <w:pPr>
        <w:tabs>
          <w:tab w:val="left" w:pos="2340"/>
        </w:tabs>
        <w:rPr>
          <w:rFonts w:ascii="Garamond" w:hAnsi="Garamond" w:cs="CentaurMTStd"/>
          <w:noProof/>
          <w:color w:val="000000"/>
          <w:lang w:eastAsia="zh-CN"/>
        </w:rPr>
      </w:pPr>
    </w:p>
    <w:p w14:paraId="254BCEB0" w14:textId="77777777" w:rsidR="008B1AAD" w:rsidRDefault="008B1AAD" w:rsidP="00EC495F">
      <w:pPr>
        <w:tabs>
          <w:tab w:val="left" w:pos="2340"/>
        </w:tabs>
        <w:rPr>
          <w:rFonts w:ascii="Garamond" w:hAnsi="Garamond" w:cs="CentaurMTStd"/>
          <w:noProof/>
          <w:color w:val="000000"/>
          <w:lang w:eastAsia="zh-CN"/>
        </w:rPr>
      </w:pPr>
    </w:p>
    <w:p w14:paraId="68450EBA" w14:textId="77777777" w:rsidR="008B1AAD" w:rsidRDefault="008B1AAD" w:rsidP="00EC495F">
      <w:pPr>
        <w:tabs>
          <w:tab w:val="left" w:pos="2340"/>
        </w:tabs>
        <w:rPr>
          <w:rFonts w:ascii="Garamond" w:hAnsi="Garamond" w:cs="CentaurMTStd"/>
          <w:noProof/>
          <w:color w:val="000000"/>
          <w:lang w:eastAsia="zh-CN"/>
        </w:rPr>
      </w:pPr>
    </w:p>
    <w:bookmarkStart w:id="0" w:name="_Hlk112837028"/>
    <w:p w14:paraId="3C52D8C7" w14:textId="735E3CDE" w:rsidR="008B1AAD" w:rsidRPr="00A968DC" w:rsidRDefault="00D014D7" w:rsidP="008B1AAD">
      <w:pPr>
        <w:jc w:val="center"/>
        <w:rPr>
          <w:rStyle w:val="Hyperlink"/>
          <w:b/>
          <w:color w:val="000000" w:themeColor="text1"/>
          <w:sz w:val="32"/>
          <w:szCs w:val="32"/>
        </w:rPr>
      </w:pPr>
      <w:r w:rsidRPr="00A968DC">
        <w:rPr>
          <w:b/>
          <w:color w:val="000000" w:themeColor="text1"/>
          <w:sz w:val="32"/>
          <w:szCs w:val="32"/>
        </w:rPr>
        <w:fldChar w:fldCharType="begin"/>
      </w:r>
      <w:r w:rsidR="008F544F">
        <w:rPr>
          <w:b/>
          <w:color w:val="000000" w:themeColor="text1"/>
          <w:sz w:val="32"/>
          <w:szCs w:val="32"/>
        </w:rPr>
        <w:instrText>HYPERLINK "C:\\Users\\REINSMITHJONESK\\Downloads\\MSW FT ADVSTANDING 2022.docx"</w:instrText>
      </w:r>
      <w:r w:rsidRPr="00A968DC">
        <w:rPr>
          <w:b/>
          <w:color w:val="000000" w:themeColor="text1"/>
          <w:sz w:val="32"/>
          <w:szCs w:val="32"/>
        </w:rPr>
      </w:r>
      <w:r w:rsidRPr="00A968DC">
        <w:rPr>
          <w:b/>
          <w:color w:val="000000" w:themeColor="text1"/>
          <w:sz w:val="32"/>
          <w:szCs w:val="32"/>
        </w:rPr>
        <w:fldChar w:fldCharType="separate"/>
      </w:r>
      <w:r w:rsidR="008B1AAD" w:rsidRPr="00A968DC">
        <w:rPr>
          <w:rStyle w:val="Hyperlink"/>
          <w:b/>
          <w:color w:val="000000" w:themeColor="text1"/>
          <w:sz w:val="32"/>
          <w:szCs w:val="32"/>
        </w:rPr>
        <w:t>MSW COURSE REQUIREMENTS</w:t>
      </w:r>
    </w:p>
    <w:p w14:paraId="609672D1" w14:textId="64048266" w:rsidR="006F2278" w:rsidRPr="00A968DC" w:rsidRDefault="008B1AAD" w:rsidP="008B1AAD">
      <w:pPr>
        <w:jc w:val="center"/>
        <w:rPr>
          <w:b/>
          <w:color w:val="000000" w:themeColor="text1"/>
          <w:sz w:val="32"/>
          <w:szCs w:val="32"/>
        </w:rPr>
      </w:pPr>
      <w:r w:rsidRPr="00A968DC">
        <w:rPr>
          <w:rStyle w:val="Hyperlink"/>
          <w:b/>
          <w:color w:val="000000" w:themeColor="text1"/>
          <w:sz w:val="32"/>
          <w:szCs w:val="32"/>
        </w:rPr>
        <w:t>TWO YEAR</w:t>
      </w:r>
      <w:r w:rsidR="006F2278" w:rsidRPr="00A968DC">
        <w:rPr>
          <w:rStyle w:val="Hyperlink"/>
          <w:b/>
          <w:color w:val="000000" w:themeColor="text1"/>
          <w:sz w:val="32"/>
          <w:szCs w:val="32"/>
        </w:rPr>
        <w:t xml:space="preserve"> – Full Time</w:t>
      </w:r>
      <w:r w:rsidR="00D014D7" w:rsidRPr="00A968DC">
        <w:rPr>
          <w:b/>
          <w:color w:val="000000" w:themeColor="text1"/>
          <w:sz w:val="32"/>
          <w:szCs w:val="32"/>
        </w:rPr>
        <w:fldChar w:fldCharType="end"/>
      </w:r>
    </w:p>
    <w:bookmarkEnd w:id="0"/>
    <w:p w14:paraId="515310A6" w14:textId="65C0A67D" w:rsidR="008B1AAD" w:rsidRDefault="008B1AAD" w:rsidP="008B1AAD">
      <w:pPr>
        <w:jc w:val="center"/>
        <w:rPr>
          <w:b/>
          <w:sz w:val="32"/>
          <w:szCs w:val="32"/>
        </w:rPr>
      </w:pPr>
      <w:r w:rsidRPr="00712E63">
        <w:rPr>
          <w:b/>
          <w:sz w:val="32"/>
          <w:szCs w:val="32"/>
        </w:rPr>
        <w:t xml:space="preserve"> REGULAR PATHWAY</w:t>
      </w:r>
      <w:r w:rsidR="008F544F">
        <w:rPr>
          <w:b/>
          <w:sz w:val="32"/>
          <w:szCs w:val="32"/>
        </w:rPr>
        <w:t>.</w:t>
      </w:r>
    </w:p>
    <w:p w14:paraId="2ABFE400" w14:textId="1E9A9EA2" w:rsidR="008F544F" w:rsidRDefault="008F544F" w:rsidP="008B1AAD">
      <w:pPr>
        <w:jc w:val="center"/>
        <w:rPr>
          <w:b/>
          <w:sz w:val="32"/>
          <w:szCs w:val="32"/>
        </w:rPr>
      </w:pPr>
    </w:p>
    <w:p w14:paraId="2CC45D08" w14:textId="5605D1DD" w:rsidR="008F544F" w:rsidRPr="00712E63" w:rsidRDefault="008F544F" w:rsidP="008B1AAD">
      <w:pPr>
        <w:jc w:val="center"/>
        <w:rPr>
          <w:b/>
          <w:sz w:val="32"/>
          <w:szCs w:val="32"/>
        </w:rPr>
      </w:pPr>
      <w:r>
        <w:rPr>
          <w:b/>
          <w:sz w:val="32"/>
          <w:szCs w:val="32"/>
        </w:rPr>
        <w:t>Classes are In Person unless otherwise noted</w:t>
      </w:r>
    </w:p>
    <w:p w14:paraId="7AB29FA5" w14:textId="77777777" w:rsidR="008B1AAD" w:rsidRPr="00712E63" w:rsidRDefault="008B1AAD" w:rsidP="008B1AAD">
      <w:pPr>
        <w:rPr>
          <w:b/>
          <w:sz w:val="28"/>
          <w:szCs w:val="28"/>
        </w:rPr>
      </w:pPr>
      <w:r w:rsidRPr="00712E63">
        <w:rPr>
          <w:b/>
          <w:sz w:val="28"/>
          <w:szCs w:val="28"/>
        </w:rPr>
        <w:t>FIRST YEAR</w:t>
      </w:r>
    </w:p>
    <w:p w14:paraId="31A379FF" w14:textId="77777777" w:rsidR="008B1AAD" w:rsidRPr="00712E63" w:rsidRDefault="008B1AAD" w:rsidP="008B1AAD">
      <w:pPr>
        <w:rPr>
          <w:b/>
          <w:u w:val="single"/>
        </w:rPr>
      </w:pPr>
      <w:r w:rsidRPr="00712E63">
        <w:rPr>
          <w:b/>
          <w:u w:val="single"/>
        </w:rPr>
        <w:t>Fall Semester</w:t>
      </w:r>
    </w:p>
    <w:p w14:paraId="678C0B9E" w14:textId="77777777" w:rsidR="008B1AAD" w:rsidRPr="00082189" w:rsidRDefault="008B1AAD" w:rsidP="008B1AAD">
      <w:pPr>
        <w:rPr>
          <w:sz w:val="28"/>
          <w:szCs w:val="28"/>
        </w:rPr>
      </w:pPr>
      <w:r w:rsidRPr="00712E63">
        <w:rPr>
          <w:b/>
          <w:sz w:val="28"/>
          <w:szCs w:val="28"/>
        </w:rPr>
        <w:t>SOCW 6005</w:t>
      </w:r>
      <w:r>
        <w:rPr>
          <w:sz w:val="28"/>
          <w:szCs w:val="28"/>
        </w:rPr>
        <w:t xml:space="preserve"> </w:t>
      </w:r>
      <w:r w:rsidRPr="00082189">
        <w:rPr>
          <w:sz w:val="28"/>
          <w:szCs w:val="28"/>
        </w:rPr>
        <w:t>Human Behavior in the Social Environment for t</w:t>
      </w:r>
      <w:r>
        <w:rPr>
          <w:sz w:val="28"/>
          <w:szCs w:val="28"/>
        </w:rPr>
        <w:t xml:space="preserve">he Human Service Professions </w:t>
      </w:r>
    </w:p>
    <w:p w14:paraId="02A6A064" w14:textId="77777777" w:rsidR="008B1AAD" w:rsidRPr="00C76D01" w:rsidRDefault="008B1AAD" w:rsidP="008B1AAD">
      <w:r>
        <w:rPr>
          <w:rFonts w:cs="Arial"/>
        </w:rPr>
        <w:t>I</w:t>
      </w:r>
      <w:r w:rsidRPr="00C76D01">
        <w:rPr>
          <w:rFonts w:cs="Arial"/>
        </w:rPr>
        <w:t>ntroduce</w:t>
      </w:r>
      <w:r>
        <w:rPr>
          <w:rFonts w:cs="Arial"/>
        </w:rPr>
        <w:t>s</w:t>
      </w:r>
      <w:r w:rsidRPr="00C76D01">
        <w:rPr>
          <w:rFonts w:cs="Arial"/>
        </w:rPr>
        <w:t xml:space="preserve"> students to the study of behavior and life cycle development, focusing on diversity and each stage of life in relation to all other stages of life and the variety of social contexts that effect development. Development will be discussed from the Clinical-Community with a Relational Perspective.</w:t>
      </w:r>
      <w:r>
        <w:rPr>
          <w:rFonts w:cs="Arial"/>
        </w:rPr>
        <w:t xml:space="preserve"> </w:t>
      </w:r>
      <w:r w:rsidRPr="00C76D01">
        <w:rPr>
          <w:rFonts w:cs="Arial"/>
        </w:rPr>
        <w:t>As well, there is an emphasis on deeper self-awareness of one's own behavior, attitudes, beliefs, and values as related to professional practice</w:t>
      </w:r>
    </w:p>
    <w:p w14:paraId="4D63D6B2" w14:textId="77777777" w:rsidR="008B1AAD" w:rsidRDefault="008B1AAD" w:rsidP="008B1AAD">
      <w:pPr>
        <w:rPr>
          <w:sz w:val="28"/>
          <w:szCs w:val="28"/>
        </w:rPr>
      </w:pPr>
    </w:p>
    <w:p w14:paraId="0A30579E" w14:textId="77777777" w:rsidR="008B1AAD" w:rsidRPr="00082189" w:rsidRDefault="008B1AAD" w:rsidP="008B1AAD">
      <w:pPr>
        <w:rPr>
          <w:sz w:val="28"/>
          <w:szCs w:val="28"/>
        </w:rPr>
      </w:pPr>
      <w:r w:rsidRPr="00712E63">
        <w:rPr>
          <w:b/>
          <w:sz w:val="28"/>
          <w:szCs w:val="28"/>
        </w:rPr>
        <w:t>SOCW 6009</w:t>
      </w:r>
      <w:r>
        <w:rPr>
          <w:sz w:val="28"/>
          <w:szCs w:val="28"/>
        </w:rPr>
        <w:t xml:space="preserve"> </w:t>
      </w:r>
      <w:r w:rsidRPr="00082189">
        <w:rPr>
          <w:sz w:val="28"/>
          <w:szCs w:val="28"/>
        </w:rPr>
        <w:t>Foundations of Social Work</w:t>
      </w:r>
      <w:r>
        <w:rPr>
          <w:sz w:val="28"/>
          <w:szCs w:val="28"/>
        </w:rPr>
        <w:t xml:space="preserve"> and Social Welfare</w:t>
      </w:r>
    </w:p>
    <w:p w14:paraId="7B9DF08F" w14:textId="77777777" w:rsidR="008B1AAD" w:rsidRPr="00C76D01" w:rsidRDefault="008B1AAD" w:rsidP="008B1AAD">
      <w:pPr>
        <w:contextualSpacing/>
        <w:rPr>
          <w:rFonts w:cs="Arial"/>
        </w:rPr>
      </w:pPr>
      <w:r w:rsidRPr="00C76D01">
        <w:rPr>
          <w:rFonts w:cs="Arial"/>
        </w:rPr>
        <w:t>Introduces social work profession and social welfare, policy, and services.</w:t>
      </w:r>
    </w:p>
    <w:p w14:paraId="75228592" w14:textId="77777777" w:rsidR="008B1AAD" w:rsidRDefault="008B1AAD" w:rsidP="008B1AAD">
      <w:pPr>
        <w:contextualSpacing/>
        <w:rPr>
          <w:sz w:val="28"/>
          <w:szCs w:val="28"/>
        </w:rPr>
      </w:pPr>
    </w:p>
    <w:p w14:paraId="486B3A55" w14:textId="77777777" w:rsidR="008B1AAD" w:rsidRPr="00082189" w:rsidRDefault="008B1AAD" w:rsidP="008B1AAD">
      <w:pPr>
        <w:contextualSpacing/>
        <w:rPr>
          <w:sz w:val="28"/>
          <w:szCs w:val="28"/>
        </w:rPr>
      </w:pPr>
      <w:r w:rsidRPr="00712E63">
        <w:rPr>
          <w:b/>
          <w:sz w:val="28"/>
          <w:szCs w:val="28"/>
        </w:rPr>
        <w:t>SOCW 6110</w:t>
      </w:r>
      <w:r>
        <w:rPr>
          <w:sz w:val="28"/>
          <w:szCs w:val="28"/>
        </w:rPr>
        <w:t xml:space="preserve"> </w:t>
      </w:r>
      <w:r w:rsidRPr="00082189">
        <w:rPr>
          <w:sz w:val="28"/>
          <w:szCs w:val="28"/>
        </w:rPr>
        <w:t>Foundational Communication and Relationship Capacities for Clinical Community Practice f</w:t>
      </w:r>
      <w:r>
        <w:rPr>
          <w:sz w:val="28"/>
          <w:szCs w:val="28"/>
        </w:rPr>
        <w:t>rom a Relational Perspective</w:t>
      </w:r>
    </w:p>
    <w:p w14:paraId="54A9B84D" w14:textId="77777777" w:rsidR="008B1AAD" w:rsidRPr="00C76D01" w:rsidRDefault="008B1AAD" w:rsidP="008B1AAD">
      <w:pPr>
        <w:contextualSpacing/>
      </w:pPr>
      <w:r w:rsidRPr="00C76D01">
        <w:rPr>
          <w:rFonts w:cs="Arial"/>
        </w:rPr>
        <w:t>This course serves as an introduction to clinical-community social work practice. The course emphasizes clinical-community practice with individuals, families, and small groups, in the context of the communities, larger social structures and service systems that can affect them in positive or negative ways. Ethical practice, critical thinking, and the use of professional relationships are central themes of the course</w:t>
      </w:r>
      <w:r>
        <w:rPr>
          <w:rFonts w:cs="Arial"/>
        </w:rPr>
        <w:t xml:space="preserve">. </w:t>
      </w:r>
      <w:r w:rsidRPr="00C76D01">
        <w:rPr>
          <w:rFonts w:cs="Arial"/>
        </w:rPr>
        <w:t>These abilities provide a foundation for subsequent practice courses.</w:t>
      </w:r>
    </w:p>
    <w:p w14:paraId="0E10519F" w14:textId="77777777" w:rsidR="008B1AAD" w:rsidRDefault="008B1AAD" w:rsidP="008B1AAD">
      <w:pPr>
        <w:contextualSpacing/>
        <w:rPr>
          <w:sz w:val="28"/>
          <w:szCs w:val="28"/>
        </w:rPr>
      </w:pPr>
    </w:p>
    <w:p w14:paraId="2317E69A" w14:textId="77777777" w:rsidR="008B1AAD" w:rsidRDefault="008B1AAD" w:rsidP="008B1AAD">
      <w:pPr>
        <w:contextualSpacing/>
        <w:rPr>
          <w:sz w:val="28"/>
          <w:szCs w:val="28"/>
        </w:rPr>
      </w:pPr>
      <w:r w:rsidRPr="00712E63">
        <w:rPr>
          <w:b/>
          <w:sz w:val="28"/>
          <w:szCs w:val="28"/>
        </w:rPr>
        <w:t>SOCW 6701</w:t>
      </w:r>
      <w:r w:rsidRPr="00082189">
        <w:rPr>
          <w:sz w:val="28"/>
          <w:szCs w:val="28"/>
        </w:rPr>
        <w:t xml:space="preserve"> Biopsychosocial: Social Work Perspective on Mental</w:t>
      </w:r>
      <w:r>
        <w:rPr>
          <w:sz w:val="28"/>
          <w:szCs w:val="28"/>
        </w:rPr>
        <w:t xml:space="preserve"> Health and Substance Abuse </w:t>
      </w:r>
    </w:p>
    <w:p w14:paraId="66F6715E" w14:textId="77777777" w:rsidR="008B1AAD" w:rsidRDefault="008B1AAD" w:rsidP="008B1AAD">
      <w:pPr>
        <w:rPr>
          <w:rFonts w:cs="Arial"/>
        </w:rPr>
      </w:pPr>
      <w:r w:rsidRPr="003357DE">
        <w:rPr>
          <w:rFonts w:cs="Arial"/>
        </w:rPr>
        <w:t>In this course the students will examine patterns of human behavior and psychosocial functioning conceptualized in mental health as psychopathology.  The content addresses such questions as what is normal psychological functioning; what do the concepts mental health and mental illness mean; and what are the implications of using these terms?  Prevalent categories of psychiatric disorders are considered as to their relevance for social work practice. There will be special emphasis on the relational nature of psychological/emotional well-being and problems in living (“psychopathology”).</w:t>
      </w:r>
    </w:p>
    <w:p w14:paraId="176811AC" w14:textId="77777777" w:rsidR="008B1AAD" w:rsidRPr="00131BB3" w:rsidRDefault="008B1AAD" w:rsidP="008B1AAD">
      <w:pPr>
        <w:rPr>
          <w:rFonts w:cs="Arial"/>
        </w:rPr>
      </w:pPr>
      <w:r w:rsidRPr="003357DE">
        <w:rPr>
          <w:rFonts w:cs="Arial"/>
        </w:rPr>
        <w:t xml:space="preserve"> </w:t>
      </w:r>
    </w:p>
    <w:p w14:paraId="0E7AA3E4" w14:textId="77777777" w:rsidR="008B1AAD" w:rsidRPr="00082189" w:rsidRDefault="008B1AAD" w:rsidP="008B1AAD">
      <w:pPr>
        <w:contextualSpacing/>
        <w:rPr>
          <w:sz w:val="28"/>
          <w:szCs w:val="28"/>
        </w:rPr>
      </w:pPr>
      <w:r w:rsidRPr="00712E63">
        <w:rPr>
          <w:b/>
          <w:sz w:val="28"/>
          <w:szCs w:val="28"/>
        </w:rPr>
        <w:t>SOCW 6702</w:t>
      </w:r>
      <w:r w:rsidRPr="00082189">
        <w:rPr>
          <w:sz w:val="28"/>
          <w:szCs w:val="28"/>
        </w:rPr>
        <w:t xml:space="preserve"> Social Work’s Response to Human Difference </w:t>
      </w:r>
    </w:p>
    <w:p w14:paraId="11EE2258" w14:textId="77777777" w:rsidR="008B1AAD" w:rsidRPr="00A60051" w:rsidRDefault="008B1AAD" w:rsidP="008B1AAD">
      <w:pPr>
        <w:pStyle w:val="HTMLAddress"/>
        <w:rPr>
          <w:rFonts w:asciiTheme="minorHAnsi" w:hAnsiTheme="minorHAnsi" w:cs="Arial"/>
          <w:b/>
          <w:szCs w:val="24"/>
          <w:lang w:eastAsia="ja-JP"/>
        </w:rPr>
      </w:pPr>
      <w:r w:rsidRPr="00A60051">
        <w:rPr>
          <w:rFonts w:asciiTheme="minorHAnsi" w:hAnsiTheme="minorHAnsi" w:cs="Arial"/>
          <w:szCs w:val="24"/>
          <w:lang w:eastAsia="ja-JP"/>
        </w:rPr>
        <w:t xml:space="preserve">This course is designed to introduce students to the theory and practice issues related to race, ethnicity, gender, class, sexual orientation, physical ability status, and age. The emphasis in this course will be on developing an understanding of (a) those client groups who, because of factors of race, ethnicity, class, gender, sexual orientation, physical ability, or age are particularly oppressed in our society, and (b) those groups who perpetuate such oppression. In addition, the course will also develop from a Clinical-Community perspective, culturally relevant strategies of empowering these oppressed groups. </w:t>
      </w:r>
      <w:r w:rsidRPr="00A60051">
        <w:rPr>
          <w:rFonts w:asciiTheme="minorHAnsi" w:hAnsiTheme="minorHAnsi" w:cs="Arial"/>
          <w:b/>
          <w:szCs w:val="24"/>
          <w:lang w:eastAsia="ja-JP"/>
        </w:rPr>
        <w:t xml:space="preserve"> </w:t>
      </w:r>
    </w:p>
    <w:p w14:paraId="77A84C81" w14:textId="77777777" w:rsidR="008B1AAD" w:rsidRDefault="008B1AAD" w:rsidP="008B1AAD">
      <w:pPr>
        <w:contextualSpacing/>
        <w:rPr>
          <w:b/>
        </w:rPr>
      </w:pPr>
    </w:p>
    <w:p w14:paraId="0E8BD618" w14:textId="77777777" w:rsidR="008B1AAD" w:rsidRDefault="008B1AAD" w:rsidP="008B1AAD">
      <w:pPr>
        <w:contextualSpacing/>
        <w:rPr>
          <w:b/>
        </w:rPr>
      </w:pPr>
    </w:p>
    <w:p w14:paraId="25A1197B" w14:textId="77777777" w:rsidR="008B1AAD" w:rsidRDefault="008B1AAD" w:rsidP="008B1AAD">
      <w:pPr>
        <w:contextualSpacing/>
        <w:rPr>
          <w:b/>
        </w:rPr>
      </w:pPr>
    </w:p>
    <w:p w14:paraId="305B5774" w14:textId="77777777" w:rsidR="008B1AAD" w:rsidRDefault="008B1AAD" w:rsidP="008B1AAD">
      <w:pPr>
        <w:contextualSpacing/>
        <w:rPr>
          <w:b/>
        </w:rPr>
      </w:pPr>
    </w:p>
    <w:p w14:paraId="3B36D9D4" w14:textId="77777777" w:rsidR="008B1AAD" w:rsidRDefault="008B1AAD" w:rsidP="008B1AAD">
      <w:pPr>
        <w:contextualSpacing/>
        <w:rPr>
          <w:b/>
        </w:rPr>
      </w:pPr>
    </w:p>
    <w:p w14:paraId="424F67F1" w14:textId="77777777" w:rsidR="008B1AAD" w:rsidRPr="00712E63" w:rsidRDefault="008B1AAD" w:rsidP="008B1AAD">
      <w:pPr>
        <w:contextualSpacing/>
        <w:rPr>
          <w:b/>
          <w:u w:val="single"/>
        </w:rPr>
      </w:pPr>
      <w:r w:rsidRPr="00712E63">
        <w:rPr>
          <w:b/>
          <w:u w:val="single"/>
        </w:rPr>
        <w:t>Spring Semester</w:t>
      </w:r>
    </w:p>
    <w:p w14:paraId="7B535ECA" w14:textId="77777777" w:rsidR="008B1AAD" w:rsidRPr="00082189" w:rsidRDefault="008B1AAD" w:rsidP="008B1AAD">
      <w:pPr>
        <w:contextualSpacing/>
        <w:rPr>
          <w:sz w:val="28"/>
          <w:szCs w:val="28"/>
        </w:rPr>
      </w:pPr>
      <w:r w:rsidRPr="00712E63">
        <w:rPr>
          <w:b/>
          <w:sz w:val="28"/>
          <w:szCs w:val="28"/>
        </w:rPr>
        <w:t>SOCW 6111</w:t>
      </w:r>
      <w:r w:rsidRPr="00082189">
        <w:rPr>
          <w:sz w:val="28"/>
          <w:szCs w:val="28"/>
        </w:rPr>
        <w:t xml:space="preserve"> Social Work Practice: Community Foundations</w:t>
      </w:r>
    </w:p>
    <w:p w14:paraId="48686E35" w14:textId="77777777" w:rsidR="008B1AAD" w:rsidRPr="00A60051" w:rsidRDefault="008B1AAD" w:rsidP="008B1AAD">
      <w:pPr>
        <w:contextualSpacing/>
        <w:rPr>
          <w:rFonts w:cs="Arial"/>
        </w:rPr>
      </w:pPr>
      <w:r w:rsidRPr="00A60051">
        <w:rPr>
          <w:rFonts w:cs="Arial"/>
        </w:rPr>
        <w:t>This course emphasizes clinical-community social work practice with communities as they are related to individuals, families, and groups</w:t>
      </w:r>
      <w:r>
        <w:rPr>
          <w:rFonts w:cs="Arial"/>
        </w:rPr>
        <w:t>.</w:t>
      </w:r>
      <w:r w:rsidRPr="00A60051">
        <w:rPr>
          <w:rFonts w:cs="Arial"/>
        </w:rPr>
        <w:t xml:space="preserve"> Students will become acquainted with additional concepts and processes underlying clinical-community practice and will be able to apply elements of them to case material and experiences in field practice. Ethical practice, critical thinking, and the use of professional relationships are central themes of the course.  By the end of the course successful students will be able to evaluate case material related to communities critically and to formulate an ethical approach to practice that includes both individual and community elements.  </w:t>
      </w:r>
    </w:p>
    <w:p w14:paraId="6958C6C9" w14:textId="77777777" w:rsidR="008B1AAD" w:rsidRDefault="008B1AAD" w:rsidP="008B1AAD">
      <w:pPr>
        <w:contextualSpacing/>
        <w:rPr>
          <w:sz w:val="28"/>
          <w:szCs w:val="28"/>
        </w:rPr>
      </w:pPr>
    </w:p>
    <w:p w14:paraId="0DCEFD91" w14:textId="0B51046B" w:rsidR="008B1AAD" w:rsidRDefault="008B1AAD" w:rsidP="008B1AAD">
      <w:pPr>
        <w:contextualSpacing/>
        <w:rPr>
          <w:sz w:val="28"/>
          <w:szCs w:val="28"/>
        </w:rPr>
      </w:pPr>
      <w:r w:rsidRPr="00712E63">
        <w:rPr>
          <w:b/>
          <w:sz w:val="28"/>
          <w:szCs w:val="28"/>
        </w:rPr>
        <w:t>SOCW 6711</w:t>
      </w:r>
      <w:r w:rsidRPr="00082189">
        <w:rPr>
          <w:sz w:val="28"/>
          <w:szCs w:val="28"/>
        </w:rPr>
        <w:t xml:space="preserve"> Critical Thinking in Social Work Research</w:t>
      </w:r>
      <w:r w:rsidR="008F544F">
        <w:rPr>
          <w:sz w:val="28"/>
          <w:szCs w:val="28"/>
        </w:rPr>
        <w:t xml:space="preserve">: On-Line Asynchronous </w:t>
      </w:r>
    </w:p>
    <w:p w14:paraId="58E25068" w14:textId="77777777" w:rsidR="008B1AAD" w:rsidRPr="00A60051" w:rsidRDefault="008B1AAD" w:rsidP="008B1AAD">
      <w:pPr>
        <w:autoSpaceDE w:val="0"/>
        <w:autoSpaceDN w:val="0"/>
        <w:adjustRightInd w:val="0"/>
        <w:rPr>
          <w:rFonts w:cs="Arial"/>
        </w:rPr>
      </w:pPr>
      <w:r w:rsidRPr="003357DE">
        <w:rPr>
          <w:rFonts w:cs="Arial"/>
        </w:rPr>
        <w:t xml:space="preserve">Introduces scientific, analytic approach to building knowledge for social work practice with specific reference to principles and methods of evaluative research as applied to critical examination </w:t>
      </w:r>
      <w:r>
        <w:rPr>
          <w:rFonts w:cs="Arial"/>
        </w:rPr>
        <w:t>of evaluative research studies.</w:t>
      </w:r>
    </w:p>
    <w:p w14:paraId="7C271D86" w14:textId="77777777" w:rsidR="000D1932" w:rsidRDefault="000D1932" w:rsidP="008B1AAD">
      <w:pPr>
        <w:contextualSpacing/>
        <w:rPr>
          <w:b/>
          <w:sz w:val="28"/>
          <w:szCs w:val="28"/>
        </w:rPr>
      </w:pPr>
    </w:p>
    <w:p w14:paraId="7D33907A" w14:textId="77777777" w:rsidR="008B1AAD" w:rsidRPr="00082189" w:rsidRDefault="008B1AAD" w:rsidP="008B1AAD">
      <w:pPr>
        <w:contextualSpacing/>
        <w:rPr>
          <w:sz w:val="28"/>
          <w:szCs w:val="28"/>
        </w:rPr>
      </w:pPr>
      <w:r w:rsidRPr="00712E63">
        <w:rPr>
          <w:b/>
          <w:sz w:val="28"/>
          <w:szCs w:val="28"/>
        </w:rPr>
        <w:t>SOCW 6940</w:t>
      </w:r>
      <w:r>
        <w:rPr>
          <w:sz w:val="28"/>
          <w:szCs w:val="28"/>
        </w:rPr>
        <w:t xml:space="preserve"> Field Instruction I </w:t>
      </w:r>
    </w:p>
    <w:p w14:paraId="3E3A8B56" w14:textId="77777777" w:rsidR="008B1AAD" w:rsidRPr="00D0567A" w:rsidRDefault="008B1AAD" w:rsidP="008B1AAD">
      <w:pPr>
        <w:pStyle w:val="HTMLAddress"/>
        <w:rPr>
          <w:rFonts w:asciiTheme="minorHAnsi" w:hAnsiTheme="minorHAnsi" w:cs="Arial"/>
          <w:szCs w:val="24"/>
          <w:lang w:eastAsia="ja-JP"/>
        </w:rPr>
      </w:pPr>
      <w:r w:rsidRPr="00D0567A">
        <w:rPr>
          <w:rFonts w:asciiTheme="minorHAnsi" w:hAnsiTheme="minorHAnsi" w:cs="Arial"/>
          <w:szCs w:val="24"/>
          <w:lang w:eastAsia="ja-JP"/>
        </w:rPr>
        <w:t xml:space="preserve">*Students can register for this class but will be placed in a specific section by the Field Office. </w:t>
      </w:r>
    </w:p>
    <w:p w14:paraId="67003530" w14:textId="77777777" w:rsidR="008B1AAD" w:rsidRPr="00D0567A" w:rsidRDefault="008B1AAD" w:rsidP="008B1AAD">
      <w:pPr>
        <w:pStyle w:val="HTMLAddress"/>
        <w:rPr>
          <w:rFonts w:asciiTheme="minorHAnsi" w:hAnsiTheme="minorHAnsi" w:cs="Arial"/>
          <w:b/>
          <w:szCs w:val="24"/>
          <w:lang w:eastAsia="ja-JP"/>
        </w:rPr>
      </w:pPr>
      <w:r w:rsidRPr="00D0567A">
        <w:rPr>
          <w:rFonts w:asciiTheme="minorHAnsi" w:hAnsiTheme="minorHAnsi" w:cs="Arial"/>
          <w:szCs w:val="24"/>
          <w:lang w:eastAsia="ja-JP"/>
        </w:rPr>
        <w:t xml:space="preserve">Through supervised instruction in the field and a weekly seminar, Field Instruction I will assist students in the application of foundation level course content to social work practice.  Drawing upon knowledge of human behavior and development, social work practice perspectives, and guidelines for ethical practice, students will present field experiences for critical examination and reflection. </w:t>
      </w:r>
    </w:p>
    <w:p w14:paraId="0E054F34" w14:textId="77777777" w:rsidR="008B1AAD" w:rsidRDefault="008B1AAD" w:rsidP="008B1AAD">
      <w:pPr>
        <w:contextualSpacing/>
        <w:rPr>
          <w:sz w:val="28"/>
          <w:szCs w:val="28"/>
        </w:rPr>
      </w:pPr>
    </w:p>
    <w:p w14:paraId="7CBC2C6B" w14:textId="77777777" w:rsidR="008B1AAD" w:rsidRPr="000D1932" w:rsidRDefault="008B1AAD" w:rsidP="008B1AAD">
      <w:pPr>
        <w:contextualSpacing/>
        <w:rPr>
          <w:b/>
          <w:sz w:val="28"/>
          <w:szCs w:val="28"/>
        </w:rPr>
      </w:pPr>
      <w:r w:rsidRPr="000D1932">
        <w:rPr>
          <w:b/>
          <w:sz w:val="28"/>
          <w:szCs w:val="28"/>
        </w:rPr>
        <w:t>Elective</w:t>
      </w:r>
    </w:p>
    <w:p w14:paraId="5A00FD5B" w14:textId="77777777" w:rsidR="008B1AAD" w:rsidRPr="003357DE" w:rsidRDefault="008B1AAD" w:rsidP="008B1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 xml:space="preserve">Students should </w:t>
      </w:r>
      <w:r w:rsidRPr="003357DE">
        <w:rPr>
          <w:rFonts w:cs="Arial"/>
        </w:rPr>
        <w:t>complete a graduate level</w:t>
      </w:r>
      <w:r>
        <w:rPr>
          <w:rFonts w:cs="Arial"/>
        </w:rPr>
        <w:t xml:space="preserve"> (5000 level or higher)</w:t>
      </w:r>
      <w:r w:rsidRPr="003357DE">
        <w:rPr>
          <w:rFonts w:cs="Arial"/>
        </w:rPr>
        <w:t xml:space="preserve"> elective relevant to the area of social work in which you wish to practice upon graduation.</w:t>
      </w:r>
    </w:p>
    <w:p w14:paraId="730468E4" w14:textId="77777777" w:rsidR="008B1AAD" w:rsidRDefault="008B1AAD" w:rsidP="008B1AAD">
      <w:pPr>
        <w:contextualSpacing/>
        <w:rPr>
          <w:b/>
          <w:sz w:val="28"/>
          <w:szCs w:val="28"/>
        </w:rPr>
      </w:pPr>
    </w:p>
    <w:p w14:paraId="231DE83D" w14:textId="03A49A97" w:rsidR="008B1AAD" w:rsidRPr="000D1932" w:rsidRDefault="008B1AAD" w:rsidP="000D1932">
      <w:pPr>
        <w:contextualSpacing/>
        <w:rPr>
          <w:b/>
          <w:sz w:val="28"/>
          <w:szCs w:val="28"/>
        </w:rPr>
      </w:pPr>
      <w:r w:rsidRPr="00712E63">
        <w:rPr>
          <w:b/>
          <w:sz w:val="28"/>
          <w:szCs w:val="28"/>
        </w:rPr>
        <w:t>SECOND YEAR</w:t>
      </w:r>
    </w:p>
    <w:p w14:paraId="4D6330F2" w14:textId="77777777" w:rsidR="008B1AAD" w:rsidRPr="00712E63" w:rsidRDefault="008B1AAD" w:rsidP="008B1AAD">
      <w:pPr>
        <w:contextualSpacing/>
        <w:rPr>
          <w:b/>
          <w:u w:val="single"/>
        </w:rPr>
      </w:pPr>
      <w:r w:rsidRPr="00712E63">
        <w:rPr>
          <w:b/>
          <w:u w:val="single"/>
        </w:rPr>
        <w:t>Fall Semester</w:t>
      </w:r>
    </w:p>
    <w:p w14:paraId="71598402" w14:textId="77777777" w:rsidR="008B1AAD" w:rsidRDefault="008B1AAD" w:rsidP="008B1AAD">
      <w:pPr>
        <w:contextualSpacing/>
        <w:rPr>
          <w:sz w:val="28"/>
          <w:szCs w:val="28"/>
        </w:rPr>
      </w:pPr>
      <w:r w:rsidRPr="00712E63">
        <w:rPr>
          <w:b/>
          <w:sz w:val="28"/>
          <w:szCs w:val="28"/>
        </w:rPr>
        <w:t>SOCW 6140</w:t>
      </w:r>
      <w:r>
        <w:rPr>
          <w:sz w:val="28"/>
          <w:szCs w:val="28"/>
        </w:rPr>
        <w:t xml:space="preserve"> Advanced Practice: Individual and Families</w:t>
      </w:r>
    </w:p>
    <w:p w14:paraId="122A479A" w14:textId="77777777" w:rsidR="008B1AAD" w:rsidRPr="00131BB3" w:rsidRDefault="008B1AAD" w:rsidP="008B1AAD">
      <w:pPr>
        <w:rPr>
          <w:rFonts w:eastAsia="Calibri"/>
        </w:rPr>
      </w:pPr>
      <w:r w:rsidRPr="003357DE">
        <w:rPr>
          <w:rFonts w:eastAsia="Calibri"/>
        </w:rPr>
        <w:t>This course presents advanced concepts, theories, and methods essential to clinical-community social work. The emphasis is on individuals and families within the context of their bio-psycho-social development and functioning; however, students explore the importance of social networks and communities that connect people. They consider the influence of social and cultural factors. Students gain skills that bridge theoretical orientations, including the capacity to create a therapeutic relationship and the use of self in the service of others. They learn to assess, establish goals, develop a treatment plan, intervene, and evaluate progress from several different theoretical orientation including psychodynamic, cognitive-behavioral, a</w:t>
      </w:r>
      <w:r>
        <w:rPr>
          <w:rFonts w:eastAsia="Calibri"/>
        </w:rPr>
        <w:t>ttachment, and family theories.</w:t>
      </w:r>
      <w:r>
        <w:rPr>
          <w:sz w:val="28"/>
          <w:szCs w:val="28"/>
        </w:rPr>
        <w:t xml:space="preserve"> </w:t>
      </w:r>
    </w:p>
    <w:p w14:paraId="7B09909F" w14:textId="77777777" w:rsidR="008B1AAD" w:rsidRDefault="008B1AAD" w:rsidP="008B1AAD">
      <w:pPr>
        <w:contextualSpacing/>
        <w:rPr>
          <w:sz w:val="28"/>
          <w:szCs w:val="28"/>
        </w:rPr>
      </w:pPr>
    </w:p>
    <w:p w14:paraId="38FE0E03" w14:textId="77777777" w:rsidR="008B1AAD" w:rsidRDefault="008B1AAD" w:rsidP="008B1AAD">
      <w:pPr>
        <w:contextualSpacing/>
        <w:rPr>
          <w:sz w:val="28"/>
          <w:szCs w:val="28"/>
        </w:rPr>
      </w:pPr>
      <w:r w:rsidRPr="00712E63">
        <w:rPr>
          <w:b/>
          <w:sz w:val="28"/>
          <w:szCs w:val="28"/>
        </w:rPr>
        <w:t>SOCW 6141</w:t>
      </w:r>
      <w:r>
        <w:rPr>
          <w:sz w:val="28"/>
          <w:szCs w:val="28"/>
        </w:rPr>
        <w:t xml:space="preserve"> Advanced Practice: Community Partnerships</w:t>
      </w:r>
    </w:p>
    <w:p w14:paraId="056C5273" w14:textId="77777777" w:rsidR="008B1AAD" w:rsidRDefault="008B1AAD" w:rsidP="008B1AAD">
      <w:pPr>
        <w:widowControl w:val="0"/>
      </w:pPr>
      <w:r w:rsidRPr="00493330">
        <w:t>Advanced concepts, theories and methods of clinical-community social work practice with an emphasis on partnerships between people experiencing social problems, and between these groups and social workers for the purp</w:t>
      </w:r>
      <w:r>
        <w:t>ose of pursuing social justice.  Students will work in small groups to engage with community partners conducting needs assessments and filling gaps in services.</w:t>
      </w:r>
    </w:p>
    <w:p w14:paraId="27A3B296" w14:textId="77777777" w:rsidR="008B1AAD" w:rsidRPr="00131BB3" w:rsidRDefault="008B1AAD" w:rsidP="008B1AAD">
      <w:pPr>
        <w:widowControl w:val="0"/>
      </w:pPr>
      <w:r>
        <w:t xml:space="preserve"> </w:t>
      </w:r>
    </w:p>
    <w:p w14:paraId="4E06EFCB" w14:textId="77777777" w:rsidR="008B1AAD" w:rsidRDefault="008B1AAD" w:rsidP="008B1AAD">
      <w:pPr>
        <w:contextualSpacing/>
        <w:rPr>
          <w:sz w:val="28"/>
          <w:szCs w:val="28"/>
        </w:rPr>
      </w:pPr>
      <w:r w:rsidRPr="00712E63">
        <w:rPr>
          <w:b/>
          <w:sz w:val="28"/>
          <w:szCs w:val="28"/>
        </w:rPr>
        <w:t>SOCW 6950</w:t>
      </w:r>
      <w:r>
        <w:rPr>
          <w:sz w:val="28"/>
          <w:szCs w:val="28"/>
        </w:rPr>
        <w:t xml:space="preserve"> Field Instruction II</w:t>
      </w:r>
    </w:p>
    <w:p w14:paraId="7B2A2DA3" w14:textId="77777777" w:rsidR="008B1AAD" w:rsidRPr="003357DE" w:rsidRDefault="008B1AAD" w:rsidP="008B1AAD">
      <w:pPr>
        <w:pStyle w:val="HTMLAddress"/>
        <w:rPr>
          <w:rFonts w:asciiTheme="minorHAnsi" w:hAnsiTheme="minorHAnsi" w:cs="Arial"/>
          <w:szCs w:val="24"/>
          <w:lang w:eastAsia="ja-JP"/>
        </w:rPr>
      </w:pPr>
      <w:r w:rsidRPr="003357DE">
        <w:rPr>
          <w:rFonts w:asciiTheme="minorHAnsi" w:hAnsiTheme="minorHAnsi" w:cs="Arial"/>
          <w:b/>
          <w:szCs w:val="24"/>
          <w:lang w:eastAsia="ja-JP"/>
        </w:rPr>
        <w:lastRenderedPageBreak/>
        <w:t>*</w:t>
      </w:r>
      <w:r w:rsidRPr="003357DE">
        <w:rPr>
          <w:rFonts w:asciiTheme="minorHAnsi" w:hAnsiTheme="minorHAnsi" w:cs="Arial"/>
          <w:szCs w:val="24"/>
          <w:lang w:eastAsia="ja-JP"/>
        </w:rPr>
        <w:t xml:space="preserve">Students can register for this class but will be placed in a specific section by the Field Office. </w:t>
      </w:r>
    </w:p>
    <w:p w14:paraId="1C25BFD3" w14:textId="77777777" w:rsidR="008B1AAD" w:rsidRPr="003357DE" w:rsidRDefault="008B1AAD" w:rsidP="008B1AAD">
      <w:pPr>
        <w:contextualSpacing/>
      </w:pPr>
      <w:r w:rsidRPr="003357DE">
        <w:rPr>
          <w:rFonts w:cs="Arial"/>
        </w:rPr>
        <w:t>Field Instruction II will assist students in the application of social work knowledge and values to advanced social work practice. Guided by the principals of clinical-community practice, the students will present case material experiences for critical examination and reflection.  Students will be exposed to a wide variety of issues and concrete situations in which to develop their expertise and personal professional identity. Emphasis will be placed upon the mutual influences of the individual and the social.</w:t>
      </w:r>
    </w:p>
    <w:p w14:paraId="6F3CD3FF" w14:textId="77777777" w:rsidR="008B1AAD" w:rsidRDefault="008B1AAD" w:rsidP="008B1AAD">
      <w:pPr>
        <w:contextualSpacing/>
        <w:rPr>
          <w:sz w:val="28"/>
          <w:szCs w:val="28"/>
        </w:rPr>
      </w:pPr>
    </w:p>
    <w:p w14:paraId="0B9DCF62" w14:textId="77777777" w:rsidR="008B1AAD" w:rsidRPr="000D1932" w:rsidRDefault="008B1AAD" w:rsidP="008B1AAD">
      <w:pPr>
        <w:contextualSpacing/>
        <w:rPr>
          <w:b/>
          <w:sz w:val="28"/>
          <w:szCs w:val="28"/>
        </w:rPr>
      </w:pPr>
      <w:r w:rsidRPr="000D1932">
        <w:rPr>
          <w:b/>
          <w:sz w:val="28"/>
          <w:szCs w:val="28"/>
        </w:rPr>
        <w:t>Elective</w:t>
      </w:r>
    </w:p>
    <w:p w14:paraId="40298BE3" w14:textId="77777777" w:rsidR="008B1AAD" w:rsidRDefault="008B1AAD" w:rsidP="008B1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 xml:space="preserve">Students should </w:t>
      </w:r>
      <w:r w:rsidRPr="003357DE">
        <w:rPr>
          <w:rFonts w:cs="Arial"/>
        </w:rPr>
        <w:t>complete a graduate level</w:t>
      </w:r>
      <w:r>
        <w:rPr>
          <w:rFonts w:cs="Arial"/>
        </w:rPr>
        <w:t xml:space="preserve"> (5000 level or higher)</w:t>
      </w:r>
      <w:r w:rsidRPr="003357DE">
        <w:rPr>
          <w:rFonts w:cs="Arial"/>
        </w:rPr>
        <w:t xml:space="preserve"> elective relevant to the area of social work in which you wish to practice upon graduation.</w:t>
      </w:r>
    </w:p>
    <w:p w14:paraId="14E86087" w14:textId="77777777" w:rsidR="008B1AAD" w:rsidRPr="00131BB3" w:rsidRDefault="008B1AAD" w:rsidP="008B1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14:paraId="31CBE573" w14:textId="77777777" w:rsidR="008B1AAD" w:rsidRPr="00712E63" w:rsidRDefault="008B1AAD" w:rsidP="008B1AAD">
      <w:pPr>
        <w:contextualSpacing/>
        <w:rPr>
          <w:b/>
          <w:u w:val="single"/>
        </w:rPr>
      </w:pPr>
      <w:r w:rsidRPr="00712E63">
        <w:rPr>
          <w:b/>
          <w:u w:val="single"/>
        </w:rPr>
        <w:t>Spring Semester</w:t>
      </w:r>
    </w:p>
    <w:p w14:paraId="762E2E69" w14:textId="77777777" w:rsidR="008B1AAD" w:rsidRDefault="008B1AAD" w:rsidP="008B1AAD">
      <w:pPr>
        <w:contextualSpacing/>
        <w:rPr>
          <w:sz w:val="28"/>
          <w:szCs w:val="28"/>
        </w:rPr>
      </w:pPr>
      <w:r w:rsidRPr="00712E63">
        <w:rPr>
          <w:b/>
          <w:sz w:val="28"/>
          <w:szCs w:val="28"/>
        </w:rPr>
        <w:t>SOCW 6112</w:t>
      </w:r>
      <w:r>
        <w:rPr>
          <w:sz w:val="28"/>
          <w:szCs w:val="28"/>
        </w:rPr>
        <w:t xml:space="preserve"> Trauma Informed Practice with a Clinical- Community Relational Perspective  </w:t>
      </w:r>
    </w:p>
    <w:p w14:paraId="64B776D7" w14:textId="77777777" w:rsidR="008B1AAD" w:rsidRPr="003357DE" w:rsidRDefault="008B1AAD" w:rsidP="008B1AAD">
      <w:pPr>
        <w:contextualSpacing/>
      </w:pPr>
      <w:r w:rsidRPr="003357DE">
        <w:t>This course focuses on the various causes, effects, and treatment strategies for traumatic events and experiences, as well as Posttraumatic Stress Disorder, Acute Stress Disorder, and Secondary Trauma.  Within a Clinical-Community Social Work from a Relational Perspective (CCRP) lens, students will explore the relationship between attachment and trauma, interpersonal trauma of children and adults including childhood sexual abuse, assault, and domestic violence. The impact of combat on veterans and their families will be highlighted as well as trauma that affects the community including natural disasters, school violence, and cultural trauma. The relationship between trauma and substance use disorders will also be explored.</w:t>
      </w:r>
    </w:p>
    <w:p w14:paraId="6D570A51" w14:textId="77777777" w:rsidR="008B1AAD" w:rsidRDefault="008B1AAD" w:rsidP="008B1AAD">
      <w:pPr>
        <w:contextualSpacing/>
        <w:rPr>
          <w:sz w:val="28"/>
          <w:szCs w:val="28"/>
        </w:rPr>
      </w:pPr>
    </w:p>
    <w:p w14:paraId="3F33BB10" w14:textId="77777777" w:rsidR="008B1AAD" w:rsidRDefault="008B1AAD" w:rsidP="008B1AAD">
      <w:pPr>
        <w:contextualSpacing/>
        <w:rPr>
          <w:sz w:val="28"/>
          <w:szCs w:val="28"/>
        </w:rPr>
      </w:pPr>
      <w:r w:rsidRPr="009A4B06">
        <w:rPr>
          <w:b/>
          <w:sz w:val="28"/>
          <w:szCs w:val="28"/>
        </w:rPr>
        <w:t>SOCW 6114</w:t>
      </w:r>
      <w:r>
        <w:rPr>
          <w:sz w:val="28"/>
          <w:szCs w:val="28"/>
        </w:rPr>
        <w:t xml:space="preserve"> Group Practice with a Clinical-Community Relational Perspective</w:t>
      </w:r>
    </w:p>
    <w:p w14:paraId="3E9C358C" w14:textId="77777777" w:rsidR="008B1AAD" w:rsidRPr="003357DE" w:rsidRDefault="008B1AAD" w:rsidP="008B1AAD">
      <w:pPr>
        <w:contextualSpacing/>
        <w:rPr>
          <w:sz w:val="28"/>
          <w:szCs w:val="28"/>
        </w:rPr>
      </w:pPr>
      <w:r w:rsidRPr="003357DE">
        <w:t>The study of processes, theories and practice of group work in task groups, psychoeducational groups, support groups, and therapeutic groups, all from a clinical-community relational perspective context.</w:t>
      </w:r>
    </w:p>
    <w:p w14:paraId="09BF0272" w14:textId="77777777" w:rsidR="008B1AAD" w:rsidRDefault="008B1AAD" w:rsidP="008B1AAD">
      <w:pPr>
        <w:contextualSpacing/>
        <w:rPr>
          <w:sz w:val="28"/>
          <w:szCs w:val="28"/>
        </w:rPr>
      </w:pPr>
    </w:p>
    <w:p w14:paraId="7FCD86EF" w14:textId="77777777" w:rsidR="008B1AAD" w:rsidRDefault="008B1AAD" w:rsidP="008B1AAD">
      <w:pPr>
        <w:contextualSpacing/>
        <w:rPr>
          <w:sz w:val="28"/>
          <w:szCs w:val="28"/>
        </w:rPr>
      </w:pPr>
      <w:r w:rsidRPr="009A4B06">
        <w:rPr>
          <w:b/>
          <w:sz w:val="28"/>
          <w:szCs w:val="28"/>
        </w:rPr>
        <w:t>SOCW 6960</w:t>
      </w:r>
      <w:r>
        <w:rPr>
          <w:sz w:val="28"/>
          <w:szCs w:val="28"/>
        </w:rPr>
        <w:t xml:space="preserve"> Field Instruction II</w:t>
      </w:r>
      <w:r w:rsidR="00A70176">
        <w:rPr>
          <w:sz w:val="28"/>
          <w:szCs w:val="28"/>
        </w:rPr>
        <w:t>I</w:t>
      </w:r>
    </w:p>
    <w:p w14:paraId="0ABE6F85" w14:textId="77777777" w:rsidR="008B1AAD" w:rsidRDefault="008B1AAD" w:rsidP="008B1AAD">
      <w:pPr>
        <w:pStyle w:val="HTMLAddress"/>
        <w:rPr>
          <w:rFonts w:asciiTheme="minorHAnsi" w:hAnsiTheme="minorHAnsi" w:cs="Arial"/>
          <w:szCs w:val="24"/>
          <w:lang w:eastAsia="ja-JP"/>
        </w:rPr>
      </w:pPr>
      <w:r>
        <w:rPr>
          <w:rFonts w:asciiTheme="minorHAnsi" w:hAnsiTheme="minorHAnsi" w:cs="Arial"/>
          <w:szCs w:val="24"/>
          <w:lang w:eastAsia="ja-JP"/>
        </w:rPr>
        <w:t xml:space="preserve">*Students will continue with the same instructor assigned in the Fall semester. </w:t>
      </w:r>
    </w:p>
    <w:p w14:paraId="46C8FBFC" w14:textId="77777777" w:rsidR="008B1AAD" w:rsidRPr="003357DE" w:rsidRDefault="008B1AAD" w:rsidP="008B1AAD">
      <w:pPr>
        <w:pStyle w:val="HTMLAddress"/>
        <w:rPr>
          <w:rFonts w:asciiTheme="minorHAnsi" w:hAnsiTheme="minorHAnsi" w:cs="Arial"/>
          <w:szCs w:val="24"/>
          <w:lang w:eastAsia="ja-JP"/>
        </w:rPr>
      </w:pPr>
      <w:r>
        <w:rPr>
          <w:rFonts w:asciiTheme="minorHAnsi" w:hAnsiTheme="minorHAnsi" w:cs="Arial"/>
          <w:szCs w:val="24"/>
          <w:lang w:eastAsia="ja-JP"/>
        </w:rPr>
        <w:t>Continuing</w:t>
      </w:r>
      <w:r w:rsidRPr="003357DE">
        <w:rPr>
          <w:rFonts w:asciiTheme="minorHAnsi" w:hAnsiTheme="minorHAnsi" w:cs="Arial"/>
          <w:szCs w:val="24"/>
          <w:lang w:eastAsia="ja-JP"/>
        </w:rPr>
        <w:t xml:space="preserve"> 6950 this course will assist students in the integration of social work knowledge and values to advanced social work practice. Guided by the principals of clinical-community practice, the students will present case material experiences for critical examination and reflection.  Students will be exposed to a wide variety of issues and concrete situations in which to develop their expertise and personal professional identity. Emphasis will be placed upon ethics, practice evaluation and formulating alternative approaches. </w:t>
      </w:r>
    </w:p>
    <w:p w14:paraId="2777D501" w14:textId="77777777" w:rsidR="008B1AAD" w:rsidRDefault="008B1AAD" w:rsidP="008B1AAD">
      <w:pPr>
        <w:contextualSpacing/>
        <w:rPr>
          <w:sz w:val="28"/>
          <w:szCs w:val="28"/>
        </w:rPr>
      </w:pPr>
    </w:p>
    <w:p w14:paraId="3B3354C4" w14:textId="77777777" w:rsidR="008B1AAD" w:rsidRPr="000D1932" w:rsidRDefault="008B1AAD" w:rsidP="008B1AAD">
      <w:pPr>
        <w:contextualSpacing/>
        <w:rPr>
          <w:b/>
          <w:sz w:val="28"/>
          <w:szCs w:val="28"/>
        </w:rPr>
      </w:pPr>
      <w:r w:rsidRPr="000D1932">
        <w:rPr>
          <w:b/>
          <w:sz w:val="28"/>
          <w:szCs w:val="28"/>
        </w:rPr>
        <w:t>Elective</w:t>
      </w:r>
    </w:p>
    <w:p w14:paraId="3B47AF08" w14:textId="77777777" w:rsidR="008B1AAD" w:rsidRDefault="008B1AAD" w:rsidP="008B1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rPr>
      </w:pPr>
      <w:r>
        <w:rPr>
          <w:rFonts w:cs="Arial"/>
        </w:rPr>
        <w:t xml:space="preserve">Students should </w:t>
      </w:r>
      <w:r w:rsidRPr="003357DE">
        <w:rPr>
          <w:rFonts w:cs="Arial"/>
        </w:rPr>
        <w:t>complete a graduate level</w:t>
      </w:r>
      <w:r>
        <w:rPr>
          <w:rFonts w:cs="Arial"/>
        </w:rPr>
        <w:t xml:space="preserve"> (5000 level or higher)</w:t>
      </w:r>
      <w:r w:rsidRPr="003357DE">
        <w:rPr>
          <w:rFonts w:cs="Arial"/>
        </w:rPr>
        <w:t xml:space="preserve"> elective relevant to the area of social work in which you wish to practice upon graduation.</w:t>
      </w:r>
    </w:p>
    <w:p w14:paraId="481298DA" w14:textId="77777777" w:rsidR="008B1AAD" w:rsidRDefault="008B1AAD" w:rsidP="008B1AAD">
      <w:pPr>
        <w:contextualSpacing/>
        <w:rPr>
          <w:sz w:val="28"/>
          <w:szCs w:val="28"/>
        </w:rPr>
      </w:pPr>
    </w:p>
    <w:p w14:paraId="0C7EBFF6" w14:textId="77777777" w:rsidR="008B1AAD" w:rsidRPr="008C000C" w:rsidRDefault="008B1AAD" w:rsidP="008B1AAD">
      <w:pPr>
        <w:contextualSpacing/>
        <w:rPr>
          <w:sz w:val="22"/>
          <w:szCs w:val="22"/>
        </w:rPr>
      </w:pPr>
      <w:r w:rsidRPr="00454245">
        <w:rPr>
          <w:sz w:val="22"/>
          <w:szCs w:val="22"/>
        </w:rPr>
        <w:t xml:space="preserve"> </w:t>
      </w:r>
    </w:p>
    <w:p w14:paraId="7596EEE5" w14:textId="77777777" w:rsidR="00EC495F" w:rsidRDefault="00EC495F" w:rsidP="00EC495F">
      <w:pPr>
        <w:tabs>
          <w:tab w:val="left" w:pos="2340"/>
        </w:tabs>
        <w:rPr>
          <w:rStyle w:val="style441"/>
          <w:rFonts w:cs="Arial"/>
          <w:sz w:val="28"/>
          <w:szCs w:val="28"/>
        </w:rPr>
      </w:pPr>
    </w:p>
    <w:p w14:paraId="3A57BFAD" w14:textId="77777777" w:rsidR="00EC495F" w:rsidRDefault="00EC495F" w:rsidP="00EC495F">
      <w:pPr>
        <w:tabs>
          <w:tab w:val="left" w:pos="2340"/>
        </w:tabs>
        <w:rPr>
          <w:rStyle w:val="style441"/>
          <w:rFonts w:cs="Arial"/>
          <w:sz w:val="28"/>
          <w:szCs w:val="28"/>
        </w:rPr>
      </w:pPr>
    </w:p>
    <w:p w14:paraId="53612CAF" w14:textId="77777777" w:rsidR="00EC495F" w:rsidRDefault="00EC495F" w:rsidP="00EC495F">
      <w:pPr>
        <w:tabs>
          <w:tab w:val="left" w:pos="2340"/>
        </w:tabs>
        <w:rPr>
          <w:rStyle w:val="style441"/>
          <w:rFonts w:cs="Arial"/>
          <w:sz w:val="28"/>
          <w:szCs w:val="28"/>
        </w:rPr>
      </w:pPr>
    </w:p>
    <w:p w14:paraId="51FC116F" w14:textId="77777777" w:rsidR="00EC495F" w:rsidRDefault="00EC495F" w:rsidP="00EC495F">
      <w:pPr>
        <w:tabs>
          <w:tab w:val="left" w:pos="2340"/>
        </w:tabs>
        <w:rPr>
          <w:rStyle w:val="style441"/>
          <w:rFonts w:cs="Arial"/>
          <w:sz w:val="28"/>
          <w:szCs w:val="28"/>
        </w:rPr>
      </w:pPr>
    </w:p>
    <w:p w14:paraId="4E35C3B0" w14:textId="77777777" w:rsidR="00EC495F" w:rsidRDefault="00EC495F" w:rsidP="00EC495F">
      <w:pPr>
        <w:tabs>
          <w:tab w:val="left" w:pos="2340"/>
        </w:tabs>
        <w:rPr>
          <w:rStyle w:val="style441"/>
          <w:rFonts w:cs="Arial"/>
          <w:sz w:val="28"/>
          <w:szCs w:val="28"/>
        </w:rPr>
      </w:pPr>
    </w:p>
    <w:p w14:paraId="7FA11425" w14:textId="77777777" w:rsidR="00EC495F" w:rsidRDefault="00EC495F" w:rsidP="00EC495F">
      <w:pPr>
        <w:tabs>
          <w:tab w:val="left" w:pos="2340"/>
        </w:tabs>
        <w:rPr>
          <w:rStyle w:val="style441"/>
          <w:rFonts w:cs="Arial"/>
          <w:sz w:val="28"/>
          <w:szCs w:val="28"/>
        </w:rPr>
      </w:pPr>
    </w:p>
    <w:p w14:paraId="618ECE25" w14:textId="77777777" w:rsidR="00274E71" w:rsidRPr="001910A0" w:rsidRDefault="00274E71" w:rsidP="00EC495F">
      <w:pPr>
        <w:tabs>
          <w:tab w:val="left" w:pos="2340"/>
        </w:tabs>
        <w:rPr>
          <w:rFonts w:cs="Arial"/>
          <w:sz w:val="28"/>
          <w:szCs w:val="28"/>
        </w:rPr>
      </w:pPr>
      <w:r w:rsidRPr="001910A0">
        <w:rPr>
          <w:rStyle w:val="style441"/>
          <w:rFonts w:cs="Arial"/>
          <w:sz w:val="28"/>
          <w:szCs w:val="28"/>
        </w:rPr>
        <w:t xml:space="preserve"> </w:t>
      </w:r>
    </w:p>
    <w:p w14:paraId="3E874146" w14:textId="77777777" w:rsidR="00274E71" w:rsidRPr="00AA5F97" w:rsidRDefault="00274E71" w:rsidP="00274E71">
      <w:pPr>
        <w:rPr>
          <w:rFonts w:cs="Arial"/>
          <w:sz w:val="16"/>
          <w:szCs w:val="16"/>
        </w:rPr>
      </w:pPr>
    </w:p>
    <w:p w14:paraId="65E0007B" w14:textId="77777777" w:rsidR="00E74DC0" w:rsidRPr="00274E71" w:rsidRDefault="00E74DC0" w:rsidP="00274E71">
      <w:pPr>
        <w:widowControl w:val="0"/>
        <w:autoSpaceDE w:val="0"/>
        <w:autoSpaceDN w:val="0"/>
        <w:adjustRightInd w:val="0"/>
        <w:spacing w:line="288" w:lineRule="auto"/>
        <w:textAlignment w:val="center"/>
        <w:rPr>
          <w:rFonts w:ascii="Arial" w:hAnsi="Arial" w:cs="Arial"/>
          <w:b/>
          <w:bCs/>
        </w:rPr>
      </w:pPr>
    </w:p>
    <w:p w14:paraId="5D7F57A8" w14:textId="77777777" w:rsidR="00F42F67" w:rsidRPr="00E15410" w:rsidRDefault="00F42F67" w:rsidP="00F42F67">
      <w:pPr>
        <w:widowControl w:val="0"/>
        <w:tabs>
          <w:tab w:val="left" w:pos="280"/>
        </w:tabs>
        <w:autoSpaceDE w:val="0"/>
        <w:autoSpaceDN w:val="0"/>
        <w:adjustRightInd w:val="0"/>
        <w:spacing w:line="288" w:lineRule="auto"/>
        <w:textAlignment w:val="center"/>
        <w:rPr>
          <w:rFonts w:ascii="Garamond" w:hAnsi="Garamond" w:cs="CentaurMTStd"/>
          <w:color w:val="000000"/>
          <w:sz w:val="22"/>
          <w:szCs w:val="22"/>
          <w:lang w:bidi="en-US"/>
        </w:rPr>
      </w:pPr>
    </w:p>
    <w:sectPr w:rsidR="00F42F67" w:rsidRPr="00E15410" w:rsidSect="00EC495F">
      <w:pgSz w:w="12240" w:h="15840"/>
      <w:pgMar w:top="720" w:right="1080" w:bottom="72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MTStd">
    <w:charset w:val="00"/>
    <w:family w:val="auto"/>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045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32E5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547F7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D0891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6BC5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8DA95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AA2DA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A212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8858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73EE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2A8B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911"/>
    <w:multiLevelType w:val="multilevel"/>
    <w:tmpl w:val="18EEE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80C"/>
    <w:multiLevelType w:val="hybridMultilevel"/>
    <w:tmpl w:val="5C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0121045">
    <w:abstractNumId w:val="0"/>
  </w:num>
  <w:num w:numId="2" w16cid:durableId="1919052347">
    <w:abstractNumId w:val="10"/>
  </w:num>
  <w:num w:numId="3" w16cid:durableId="552548133">
    <w:abstractNumId w:val="8"/>
  </w:num>
  <w:num w:numId="4" w16cid:durableId="1845706718">
    <w:abstractNumId w:val="7"/>
  </w:num>
  <w:num w:numId="5" w16cid:durableId="503276745">
    <w:abstractNumId w:val="6"/>
  </w:num>
  <w:num w:numId="6" w16cid:durableId="383722139">
    <w:abstractNumId w:val="5"/>
  </w:num>
  <w:num w:numId="7" w16cid:durableId="1075395798">
    <w:abstractNumId w:val="9"/>
  </w:num>
  <w:num w:numId="8" w16cid:durableId="1703937244">
    <w:abstractNumId w:val="4"/>
  </w:num>
  <w:num w:numId="9" w16cid:durableId="1853762181">
    <w:abstractNumId w:val="3"/>
  </w:num>
  <w:num w:numId="10" w16cid:durableId="177696706">
    <w:abstractNumId w:val="2"/>
  </w:num>
  <w:num w:numId="11" w16cid:durableId="564688020">
    <w:abstractNumId w:val="1"/>
  </w:num>
  <w:num w:numId="12" w16cid:durableId="1344286119">
    <w:abstractNumId w:val="11"/>
  </w:num>
  <w:num w:numId="13" w16cid:durableId="573514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D5"/>
    <w:rsid w:val="00036D15"/>
    <w:rsid w:val="000D1932"/>
    <w:rsid w:val="00127D7F"/>
    <w:rsid w:val="0018040C"/>
    <w:rsid w:val="001D795E"/>
    <w:rsid w:val="00274E71"/>
    <w:rsid w:val="002B1FA9"/>
    <w:rsid w:val="002F5BCB"/>
    <w:rsid w:val="00301ACF"/>
    <w:rsid w:val="00387E46"/>
    <w:rsid w:val="00393F74"/>
    <w:rsid w:val="003D0CE8"/>
    <w:rsid w:val="005C5877"/>
    <w:rsid w:val="00614C3C"/>
    <w:rsid w:val="006F2278"/>
    <w:rsid w:val="007616D5"/>
    <w:rsid w:val="008043F7"/>
    <w:rsid w:val="00841EFC"/>
    <w:rsid w:val="008934C3"/>
    <w:rsid w:val="008B1AAD"/>
    <w:rsid w:val="008C03B4"/>
    <w:rsid w:val="008F544F"/>
    <w:rsid w:val="00950A96"/>
    <w:rsid w:val="00A156B8"/>
    <w:rsid w:val="00A70176"/>
    <w:rsid w:val="00A968DC"/>
    <w:rsid w:val="00B81BFD"/>
    <w:rsid w:val="00D014D7"/>
    <w:rsid w:val="00D13A5C"/>
    <w:rsid w:val="00E15410"/>
    <w:rsid w:val="00E74DC0"/>
    <w:rsid w:val="00EC495F"/>
    <w:rsid w:val="00F42F67"/>
    <w:rsid w:val="00F918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193E94"/>
  <w14:defaultImageDpi w14:val="300"/>
  <w15:docId w15:val="{076DF2EE-544E-419C-80AA-33557DD7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6761"/>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BalloonText">
    <w:name w:val="Balloon Text"/>
    <w:basedOn w:val="Normal"/>
    <w:link w:val="BalloonTextChar"/>
    <w:uiPriority w:val="99"/>
    <w:semiHidden/>
    <w:unhideWhenUsed/>
    <w:rsid w:val="00F42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F67"/>
    <w:rPr>
      <w:rFonts w:ascii="Lucida Grande" w:hAnsi="Lucida Grande" w:cs="Lucida Grande"/>
      <w:sz w:val="18"/>
      <w:szCs w:val="18"/>
    </w:rPr>
  </w:style>
  <w:style w:type="paragraph" w:styleId="ListParagraph">
    <w:name w:val="List Paragraph"/>
    <w:basedOn w:val="Normal"/>
    <w:uiPriority w:val="34"/>
    <w:qFormat/>
    <w:rsid w:val="00E74DC0"/>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274E71"/>
    <w:rPr>
      <w:strike w:val="0"/>
      <w:dstrike w:val="0"/>
      <w:color w:val="0000FF"/>
      <w:u w:val="none"/>
      <w:effect w:val="none"/>
    </w:rPr>
  </w:style>
  <w:style w:type="character" w:customStyle="1" w:styleId="style441">
    <w:name w:val="style441"/>
    <w:rsid w:val="00274E71"/>
    <w:rPr>
      <w:b/>
      <w:bCs/>
      <w:color w:val="592A8A"/>
      <w:sz w:val="21"/>
      <w:szCs w:val="21"/>
    </w:rPr>
  </w:style>
  <w:style w:type="paragraph" w:styleId="HTMLAddress">
    <w:name w:val="HTML Address"/>
    <w:basedOn w:val="z-TopofForm"/>
    <w:link w:val="HTMLAddressChar"/>
    <w:rsid w:val="008B1AA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8B1AAD"/>
    <w:rPr>
      <w:sz w:val="24"/>
    </w:rPr>
  </w:style>
  <w:style w:type="paragraph" w:styleId="z-TopofForm">
    <w:name w:val="HTML Top of Form"/>
    <w:basedOn w:val="Normal"/>
    <w:next w:val="Normal"/>
    <w:link w:val="z-TopofFormChar"/>
    <w:hidden/>
    <w:uiPriority w:val="99"/>
    <w:semiHidden/>
    <w:unhideWhenUsed/>
    <w:rsid w:val="008B1A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1AAD"/>
    <w:rPr>
      <w:rFonts w:ascii="Arial" w:hAnsi="Arial" w:cs="Arial"/>
      <w:vanish/>
      <w:sz w:val="16"/>
      <w:szCs w:val="16"/>
    </w:rPr>
  </w:style>
  <w:style w:type="character" w:styleId="UnresolvedMention">
    <w:name w:val="Unresolved Mention"/>
    <w:basedOn w:val="DefaultParagraphFont"/>
    <w:uiPriority w:val="99"/>
    <w:rsid w:val="0030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26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an\Documents\MSWOrientation\socialworkletterheadm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socialworkletterheadmsw</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Links>
    <vt:vector size="6" baseType="variant">
      <vt:variant>
        <vt:i4>458769</vt:i4>
      </vt:variant>
      <vt:variant>
        <vt:i4>-1</vt:i4>
      </vt:variant>
      <vt:variant>
        <vt:i4>1027</vt:i4>
      </vt:variant>
      <vt:variant>
        <vt:i4>1</vt:i4>
      </vt:variant>
      <vt:variant>
        <vt:lpwstr>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A. Virginia Parker</dc:creator>
  <cp:keywords/>
  <cp:lastModifiedBy>Reinsmith-Jones, Kelley</cp:lastModifiedBy>
  <cp:revision>2</cp:revision>
  <cp:lastPrinted>2020-08-17T15:13:00Z</cp:lastPrinted>
  <dcterms:created xsi:type="dcterms:W3CDTF">2023-05-05T22:50:00Z</dcterms:created>
  <dcterms:modified xsi:type="dcterms:W3CDTF">2023-05-05T22:50:00Z</dcterms:modified>
</cp:coreProperties>
</file>